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10E" w:rsidRPr="00496C4B" w:rsidRDefault="0056110E" w:rsidP="00357479">
      <w:pPr>
        <w:pStyle w:val="a5"/>
        <w:spacing w:before="0" w:beforeAutospacing="0" w:after="0" w:afterAutospacing="0" w:line="276" w:lineRule="auto"/>
        <w:jc w:val="right"/>
        <w:rPr>
          <w:rStyle w:val="a3"/>
          <w:rFonts w:eastAsiaTheme="majorEastAsia"/>
          <w:b w:val="0"/>
          <w:bCs w:val="0"/>
          <w:sz w:val="26"/>
          <w:szCs w:val="26"/>
        </w:rPr>
      </w:pP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Разместить: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на сайте Арбитражного суда ВО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в группе ВК «Пресс-служба судов ВО»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 xml:space="preserve">на канале в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МАКСе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 xml:space="preserve">,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ВКонтакте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 xml:space="preserve">Направить в РАПСИ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efkc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@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rapsinews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.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ru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______________И.А. Чапаев</w:t>
      </w:r>
    </w:p>
    <w:p w:rsidR="00D351BB" w:rsidRPr="005B00E3" w:rsidRDefault="00D351BB" w:rsidP="00357479">
      <w:pPr>
        <w:pStyle w:val="a5"/>
        <w:spacing w:before="0" w:beforeAutospacing="0" w:after="0" w:afterAutospacing="0" w:line="276" w:lineRule="auto"/>
        <w:ind w:firstLine="709"/>
        <w:jc w:val="both"/>
        <w:rPr>
          <w:bCs/>
          <w:color w:val="000000"/>
          <w:sz w:val="10"/>
          <w:szCs w:val="10"/>
        </w:rPr>
      </w:pPr>
    </w:p>
    <w:p w:rsidR="005B00E3" w:rsidRPr="005B00E3" w:rsidRDefault="00FD3E23" w:rsidP="005B00E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6"/>
          <w:szCs w:val="26"/>
        </w:rPr>
      </w:pPr>
      <w:r w:rsidRPr="005B00E3">
        <w:rPr>
          <w:b/>
          <w:bCs/>
          <w:color w:val="000000"/>
          <w:sz w:val="26"/>
          <w:szCs w:val="26"/>
        </w:rPr>
        <w:tab/>
      </w:r>
      <w:r w:rsidR="005B00E3" w:rsidRPr="005B00E3">
        <w:rPr>
          <w:b/>
          <w:bCs/>
          <w:color w:val="000000"/>
          <w:sz w:val="26"/>
          <w:szCs w:val="26"/>
        </w:rPr>
        <w:t>Арбитражный суд Вологодской области снизил размер стимулирующего вознаграждения конкурсному управляющему, посчитав его личный вклад в реализацию залогового имущества минимальным.</w:t>
      </w:r>
    </w:p>
    <w:p w:rsidR="005B00E3" w:rsidRPr="005B00E3" w:rsidRDefault="005B00E3" w:rsidP="005B00E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10"/>
          <w:szCs w:val="10"/>
        </w:rPr>
      </w:pPr>
    </w:p>
    <w:p w:rsidR="005B00E3" w:rsidRPr="005B00E3" w:rsidRDefault="005B00E3" w:rsidP="005B00E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Cs/>
          <w:i/>
          <w:color w:val="000000"/>
          <w:sz w:val="26"/>
          <w:szCs w:val="26"/>
        </w:rPr>
      </w:pPr>
      <w:r w:rsidRPr="005B00E3">
        <w:rPr>
          <w:bCs/>
          <w:color w:val="000000"/>
          <w:sz w:val="26"/>
          <w:szCs w:val="26"/>
        </w:rPr>
        <w:tab/>
      </w:r>
      <w:r w:rsidRPr="005B00E3">
        <w:rPr>
          <w:bCs/>
          <w:i/>
          <w:color w:val="000000"/>
          <w:sz w:val="26"/>
          <w:szCs w:val="26"/>
        </w:rPr>
        <w:t>Суд оценил, какую работу управляющий выполнил лично, а какую – за счет привлеченных специалистов, и уменьшил сумму процентов с заявленных 24,5 миллиона рублей до 1,6 миллиона рублей.</w:t>
      </w:r>
    </w:p>
    <w:p w:rsidR="005B00E3" w:rsidRPr="005B00E3" w:rsidRDefault="005B00E3" w:rsidP="005B00E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6"/>
          <w:szCs w:val="26"/>
        </w:rPr>
      </w:pPr>
      <w:r w:rsidRPr="005B00E3">
        <w:rPr>
          <w:bCs/>
          <w:color w:val="000000"/>
          <w:sz w:val="26"/>
          <w:szCs w:val="26"/>
        </w:rPr>
        <w:tab/>
        <w:t>В рамках дела о банкротстве ООО «Полон» конкурсный управляющий Пашкова Светлана Валентиновна обратилась в суд с заявлением об установлении процентов по своему вознаграждению. По закону арбитражный управляющий получает не только фиксированную выплату, но и проценты от суммы погашенных требований кредиторов, что служит своего рода премией за эффективность работы. Размер таких процентов зависит от того, какая доля долгов перед кредиторами была погашена.</w:t>
      </w:r>
    </w:p>
    <w:p w:rsidR="005B00E3" w:rsidRPr="005B00E3" w:rsidRDefault="005B00E3" w:rsidP="005B00E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6"/>
          <w:szCs w:val="26"/>
        </w:rPr>
      </w:pPr>
      <w:r w:rsidRPr="005B00E3">
        <w:rPr>
          <w:bCs/>
          <w:color w:val="000000"/>
          <w:sz w:val="26"/>
          <w:szCs w:val="26"/>
        </w:rPr>
        <w:tab/>
        <w:t>В данном случае благодаря продаже имущества должника, в том числе находившегося в залоге, требования трех залоговых кредиторов были удовлетворены на общую сумму около 486 миллионов рублей. Исходя из этого, управля</w:t>
      </w:r>
      <w:r w:rsidR="00252FA4">
        <w:rPr>
          <w:bCs/>
          <w:color w:val="000000"/>
          <w:sz w:val="26"/>
          <w:szCs w:val="26"/>
        </w:rPr>
        <w:t xml:space="preserve">ющий рассчитал причитающиеся </w:t>
      </w:r>
      <w:r w:rsidRPr="005B00E3">
        <w:rPr>
          <w:bCs/>
          <w:color w:val="000000"/>
          <w:sz w:val="26"/>
          <w:szCs w:val="26"/>
        </w:rPr>
        <w:t>проценты в размере 24,5 миллиона рублей.</w:t>
      </w:r>
    </w:p>
    <w:p w:rsidR="005B00E3" w:rsidRPr="005B00E3" w:rsidRDefault="005B00E3" w:rsidP="005B00E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6"/>
          <w:szCs w:val="26"/>
        </w:rPr>
      </w:pPr>
      <w:r w:rsidRPr="005B00E3">
        <w:rPr>
          <w:bCs/>
          <w:color w:val="000000"/>
          <w:sz w:val="26"/>
          <w:szCs w:val="26"/>
        </w:rPr>
        <w:tab/>
        <w:t>Однако кредиторы и уполномоченный орган возражали, указывая, что реальный вклад конкурсного управляющего в этот результат был не столь существенным, как она утверждает. При рассмотрении дела суд установил, что большая часть трудоемкой работы выполнялась привлеченными специалистами – юристом, бухгалтером и специалистом по сохранности имущества, ежемесячное вознаграждение каждого из которых составляло 25 тысяч рублей. Именно привлеченный специалист фактически провел инвентаризацию имущества, объем которой был значительным: заводской комплекс насчитывал более тысячи позиций, включая здания, оборудование и транспортные средства. При этом доля самого залогового имущества, за счет продажи которого и формировались проценты, составила всего около 5,5% от общего количества выявленных активов.</w:t>
      </w:r>
    </w:p>
    <w:p w:rsidR="005B00E3" w:rsidRPr="005B00E3" w:rsidRDefault="005B00E3" w:rsidP="005B00E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6"/>
          <w:szCs w:val="26"/>
        </w:rPr>
      </w:pPr>
      <w:r w:rsidRPr="005B00E3">
        <w:rPr>
          <w:bCs/>
          <w:color w:val="000000"/>
          <w:sz w:val="26"/>
          <w:szCs w:val="26"/>
        </w:rPr>
        <w:tab/>
        <w:t>Кроме того, само залоговое имущество находилось в аренде у третьих лиц, что обеспечивало его сохранность без дополнительных усилий со стороны управляющего. Продажа имущественного комплекса единым лотом была осуществлена по утвержденному судом положению, а его конечная высокая цена (объект был продан почти за 640 миллионов рублей при начальной цене около 492 миллионов рублей) во многом объясняется рыночным спросом и ликвидностью актива, а не исключительно действиями управляющего.</w:t>
      </w:r>
    </w:p>
    <w:p w:rsidR="005B00E3" w:rsidRPr="005B00E3" w:rsidRDefault="005B00E3" w:rsidP="005B00E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6"/>
          <w:szCs w:val="26"/>
        </w:rPr>
      </w:pPr>
      <w:r w:rsidRPr="005B00E3">
        <w:rPr>
          <w:bCs/>
          <w:color w:val="000000"/>
          <w:sz w:val="26"/>
          <w:szCs w:val="26"/>
        </w:rPr>
        <w:tab/>
        <w:t>Проанализировав все обстоятельства, суд первой инстанции, а затем и Четырнадцатый арбитражный апелляционный суд пришли к выводу, что личный вклад конкурсного управляющего в погашение требований залоговых кредиторов является незначительным. В связи с этим суд уменьшил размер процентного вознаграждения до 0,33% от суммы погашенных требований, что составило 1,6 миллиона рублей. При этом суд также отметил, что иные мероприятия управляющего, не связанные с залоговым имуществом, уже были учтены при утверждении процентов в другом обособленном споре на сумму около 19 миллионов рублей. Определение суда первой инстанции в обжалуемой части было оставлено без изменения, а апелляционная жалоба конкурсного управляющего – без удовлетворения.</w:t>
      </w:r>
    </w:p>
    <w:p w:rsidR="005B00E3" w:rsidRPr="005B00E3" w:rsidRDefault="005B00E3" w:rsidP="005B00E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Cs/>
          <w:i/>
          <w:color w:val="000000"/>
          <w:sz w:val="26"/>
          <w:szCs w:val="26"/>
        </w:rPr>
      </w:pPr>
      <w:r w:rsidRPr="005B00E3">
        <w:rPr>
          <w:bCs/>
          <w:color w:val="000000"/>
          <w:sz w:val="26"/>
          <w:szCs w:val="26"/>
        </w:rPr>
        <w:tab/>
      </w:r>
      <w:r w:rsidRPr="005B00E3">
        <w:rPr>
          <w:bCs/>
          <w:i/>
          <w:color w:val="000000"/>
          <w:sz w:val="26"/>
          <w:szCs w:val="26"/>
        </w:rPr>
        <w:t>Дело № А13-996/2017</w:t>
      </w:r>
    </w:p>
    <w:sectPr w:rsidR="005B00E3" w:rsidRPr="005B00E3" w:rsidSect="00905CF5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56110E"/>
    <w:rsid w:val="000B3C63"/>
    <w:rsid w:val="000C7303"/>
    <w:rsid w:val="000E2991"/>
    <w:rsid w:val="000F5F07"/>
    <w:rsid w:val="001068E8"/>
    <w:rsid w:val="001A5AC5"/>
    <w:rsid w:val="001F3999"/>
    <w:rsid w:val="00220F7C"/>
    <w:rsid w:val="00252FA4"/>
    <w:rsid w:val="002A2151"/>
    <w:rsid w:val="002E0159"/>
    <w:rsid w:val="003063E4"/>
    <w:rsid w:val="00357479"/>
    <w:rsid w:val="003E6B44"/>
    <w:rsid w:val="004438BD"/>
    <w:rsid w:val="00445E3C"/>
    <w:rsid w:val="00492BC8"/>
    <w:rsid w:val="004F1A7F"/>
    <w:rsid w:val="00557F26"/>
    <w:rsid w:val="0056110E"/>
    <w:rsid w:val="005B00E3"/>
    <w:rsid w:val="005D15AD"/>
    <w:rsid w:val="005D5DEB"/>
    <w:rsid w:val="00650CDA"/>
    <w:rsid w:val="00732348"/>
    <w:rsid w:val="007567D4"/>
    <w:rsid w:val="007A1354"/>
    <w:rsid w:val="007C0394"/>
    <w:rsid w:val="008C1703"/>
    <w:rsid w:val="008E7E41"/>
    <w:rsid w:val="00903AB6"/>
    <w:rsid w:val="00985986"/>
    <w:rsid w:val="00A05C62"/>
    <w:rsid w:val="00A211CB"/>
    <w:rsid w:val="00A265E4"/>
    <w:rsid w:val="00B04BD1"/>
    <w:rsid w:val="00C150DD"/>
    <w:rsid w:val="00CE5289"/>
    <w:rsid w:val="00D351BB"/>
    <w:rsid w:val="00D463EC"/>
    <w:rsid w:val="00D73E98"/>
    <w:rsid w:val="00E3407C"/>
    <w:rsid w:val="00E673AC"/>
    <w:rsid w:val="00EB0619"/>
    <w:rsid w:val="00EC3800"/>
    <w:rsid w:val="00EC4E8D"/>
    <w:rsid w:val="00EF290A"/>
    <w:rsid w:val="00F9406A"/>
    <w:rsid w:val="00FC2BEE"/>
    <w:rsid w:val="00FD3E23"/>
    <w:rsid w:val="00FF32C7"/>
    <w:rsid w:val="00FF5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F7C"/>
  </w:style>
  <w:style w:type="paragraph" w:styleId="1">
    <w:name w:val="heading 1"/>
    <w:basedOn w:val="a"/>
    <w:next w:val="a"/>
    <w:link w:val="10"/>
    <w:uiPriority w:val="9"/>
    <w:qFormat/>
    <w:rsid w:val="00220F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0F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220F7C"/>
    <w:pPr>
      <w:spacing w:before="100" w:beforeAutospacing="1" w:after="100" w:afterAutospacing="1" w:line="240" w:lineRule="auto"/>
      <w:outlineLvl w:val="3"/>
    </w:pPr>
    <w:rPr>
      <w:rFonts w:ascii="Times New Roman" w:eastAsiaTheme="majorEastAsia" w:hAnsi="Times New Roman" w:cstheme="majorBidi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0F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20F7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20F7C"/>
    <w:rPr>
      <w:rFonts w:ascii="Times New Roman" w:eastAsiaTheme="majorEastAsia" w:hAnsi="Times New Roman" w:cstheme="majorBidi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20F7C"/>
    <w:rPr>
      <w:b/>
      <w:bCs/>
    </w:rPr>
  </w:style>
  <w:style w:type="character" w:styleId="a4">
    <w:name w:val="Emphasis"/>
    <w:basedOn w:val="a0"/>
    <w:uiPriority w:val="20"/>
    <w:qFormat/>
    <w:rsid w:val="00220F7C"/>
    <w:rPr>
      <w:i/>
      <w:iCs/>
    </w:rPr>
  </w:style>
  <w:style w:type="paragraph" w:styleId="a5">
    <w:name w:val="Normal (Web)"/>
    <w:basedOn w:val="a"/>
    <w:uiPriority w:val="99"/>
    <w:unhideWhenUsed/>
    <w:rsid w:val="00561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561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Пресс-Секретарь</dc:creator>
  <cp:lastModifiedBy>Пресс-Секретарь</cp:lastModifiedBy>
  <cp:revision>2</cp:revision>
  <dcterms:created xsi:type="dcterms:W3CDTF">2026-06-09T06:47:00Z</dcterms:created>
  <dcterms:modified xsi:type="dcterms:W3CDTF">2026-06-09T06:47:00Z</dcterms:modified>
</cp:coreProperties>
</file>